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D5DFB" w14:textId="6BB655A0" w:rsidR="00D84C88" w:rsidRPr="00585E64" w:rsidRDefault="002612DD" w:rsidP="00D84C88">
      <w:pPr>
        <w:spacing w:after="240"/>
        <w:rPr>
          <w:rFonts w:eastAsia="Times New Roman"/>
          <w:b/>
          <w:bCs/>
          <w:kern w:val="32"/>
          <w:sz w:val="28"/>
          <w:szCs w:val="32"/>
        </w:rPr>
      </w:pPr>
      <w:r>
        <w:rPr>
          <w:b/>
          <w:sz w:val="28"/>
        </w:rPr>
        <w:t xml:space="preserve">The new SLG-2 light grid: Maximum flexibility and functionality with minimum space requirements </w:t>
      </w:r>
    </w:p>
    <w:p w14:paraId="656F9294" w14:textId="7200F00B" w:rsidR="0025105D" w:rsidRPr="0025105D" w:rsidRDefault="00D84C88" w:rsidP="00D84C88">
      <w:pPr>
        <w:spacing w:after="240"/>
        <w:rPr>
          <w:rFonts w:cs="Arial"/>
          <w:b/>
          <w:bCs/>
          <w:szCs w:val="20"/>
        </w:rPr>
      </w:pPr>
      <w:r>
        <w:rPr>
          <w:b/>
        </w:rPr>
        <w:t>Waldkirch</w:t>
      </w:r>
      <w:r w:rsidR="00690CD9">
        <w:rPr>
          <w:b/>
        </w:rPr>
        <w:t xml:space="preserve"> / Germany</w:t>
      </w:r>
      <w:r>
        <w:rPr>
          <w:b/>
        </w:rPr>
        <w:t xml:space="preserve">, </w:t>
      </w:r>
      <w:r w:rsidR="003E4B90">
        <w:rPr>
          <w:b/>
        </w:rPr>
        <w:t>June</w:t>
      </w:r>
      <w:r>
        <w:rPr>
          <w:b/>
        </w:rPr>
        <w:t xml:space="preserve"> 2021 – SICK is currently introducing the new SLG-2 automation light grid. The second generation of the “Slim Light Grid” shines with its flexibility and functionality.</w:t>
      </w:r>
      <w:r w:rsidRPr="00690CD9">
        <w:rPr>
          <w:color w:val="00B050"/>
        </w:rPr>
        <w:t xml:space="preserve"> </w:t>
      </w:r>
      <w:r w:rsidR="0023323B" w:rsidRPr="00690CD9">
        <w:rPr>
          <w:b/>
          <w:bCs/>
        </w:rPr>
        <w:t xml:space="preserve">Space-saving dimensions, low profile construction, detection heights adjustable in practical increments, and blind zone-free design ensure an easy integration in machines where space is limited. The performance of the SLG-2 with its patented optics is complemented by the integrated smart task functionality and extensive diagnostic options. </w:t>
      </w:r>
      <w:r w:rsidR="00930631">
        <w:rPr>
          <w:b/>
        </w:rPr>
        <w:t xml:space="preserve">With </w:t>
      </w:r>
      <w:r>
        <w:rPr>
          <w:b/>
        </w:rPr>
        <w:t xml:space="preserve">IO-Link communication </w:t>
      </w:r>
      <w:r w:rsidR="00930631">
        <w:rPr>
          <w:b/>
        </w:rPr>
        <w:t>as a standard, the lightgrid</w:t>
      </w:r>
      <w:r>
        <w:rPr>
          <w:b/>
        </w:rPr>
        <w:t xml:space="preserve"> </w:t>
      </w:r>
      <w:r w:rsidR="00930631">
        <w:rPr>
          <w:b/>
        </w:rPr>
        <w:t>is</w:t>
      </w:r>
      <w:r>
        <w:rPr>
          <w:b/>
        </w:rPr>
        <w:t xml:space="preserve"> Industry 4.0 </w:t>
      </w:r>
      <w:r w:rsidR="00461E71">
        <w:rPr>
          <w:b/>
        </w:rPr>
        <w:t>ready</w:t>
      </w:r>
      <w:r w:rsidR="00930631">
        <w:rPr>
          <w:b/>
        </w:rPr>
        <w:t>.</w:t>
      </w:r>
      <w:r w:rsidR="00461E71">
        <w:rPr>
          <w:b/>
        </w:rPr>
        <w:t xml:space="preserve"> </w:t>
      </w:r>
    </w:p>
    <w:p w14:paraId="664882C5" w14:textId="53DEE547" w:rsidR="00D84C88" w:rsidRPr="00361A96" w:rsidRDefault="00361A96" w:rsidP="00D84C88">
      <w:pPr>
        <w:spacing w:after="240"/>
        <w:rPr>
          <w:rFonts w:cs="Arial"/>
          <w:szCs w:val="20"/>
        </w:rPr>
      </w:pPr>
      <w:r>
        <w:t xml:space="preserve">The SLG-2 automation light grid is designed for use in logistics systems, </w:t>
      </w:r>
      <w:r w:rsidR="00930631">
        <w:t xml:space="preserve">machine building </w:t>
      </w:r>
      <w:r>
        <w:t xml:space="preserve">and </w:t>
      </w:r>
      <w:r w:rsidR="00930631">
        <w:t>in the packaging industry. It</w:t>
      </w:r>
      <w:r>
        <w:t xml:space="preserve"> fulfils a range of requirements </w:t>
      </w:r>
      <w:r w:rsidR="0023323B">
        <w:t xml:space="preserve">demanded by </w:t>
      </w:r>
      <w:r>
        <w:t xml:space="preserve">integrators and OEMs with </w:t>
      </w:r>
      <w:r w:rsidR="0023323B">
        <w:t>regarding</w:t>
      </w:r>
      <w:r>
        <w:t xml:space="preserve"> ease of integration, performance, </w:t>
      </w:r>
      <w:r w:rsidR="0023323B">
        <w:t xml:space="preserve">functionality </w:t>
      </w:r>
      <w:r>
        <w:t xml:space="preserve">and future-proofing. </w:t>
      </w:r>
    </w:p>
    <w:p w14:paraId="4891B37C" w14:textId="4EEFA3B2" w:rsidR="000B2F84" w:rsidRPr="00EC110E" w:rsidRDefault="000B2F84" w:rsidP="00D84C88">
      <w:pPr>
        <w:spacing w:after="240"/>
        <w:rPr>
          <w:rFonts w:cs="Arial"/>
          <w:b/>
          <w:bCs/>
          <w:szCs w:val="20"/>
        </w:rPr>
      </w:pPr>
      <w:r>
        <w:rPr>
          <w:b/>
        </w:rPr>
        <w:t>“State of the art” detection performance</w:t>
      </w:r>
    </w:p>
    <w:p w14:paraId="106AD021" w14:textId="3AA3F314" w:rsidR="00EE05E8" w:rsidRPr="006C070A" w:rsidRDefault="0023323B" w:rsidP="00D84C88">
      <w:pPr>
        <w:spacing w:after="240"/>
        <w:rPr>
          <w:rFonts w:cs="Arial"/>
          <w:szCs w:val="20"/>
        </w:rPr>
      </w:pPr>
      <w:r>
        <w:t>Good</w:t>
      </w:r>
      <w:r w:rsidR="006C070A">
        <w:t xml:space="preserve"> </w:t>
      </w:r>
      <w:r w:rsidR="005C5214">
        <w:t>resolution</w:t>
      </w:r>
      <w:r w:rsidR="006C070A">
        <w:t xml:space="preserve"> as well as the fast response time of the SLG-2 enable</w:t>
      </w:r>
      <w:r>
        <w:t>s</w:t>
      </w:r>
      <w:r w:rsidR="006C070A">
        <w:t xml:space="preserve"> high-performance detection and measurement solutions</w:t>
      </w:r>
      <w:r>
        <w:t xml:space="preserve"> to be realized, t</w:t>
      </w:r>
      <w:r w:rsidR="006C070A">
        <w:t>he light grid is available in beam separations of 10 mm, 25 mm and 50 mm. In “multi</w:t>
      </w:r>
      <w:r>
        <w:t>ple</w:t>
      </w:r>
      <w:r w:rsidR="006C070A">
        <w:t>-</w:t>
      </w:r>
      <w:r w:rsidR="005C5214">
        <w:t>cross</w:t>
      </w:r>
      <w:r w:rsidR="006C070A">
        <w:t xml:space="preserve">-beam” mode, the light grid not only achieves a resolution of 6.5 mm, but can also reliably detect flat objects that can be thinner than 1 mm. An optical element developed and patented by SICK ensures maximum resistance to ambient light, reflections or interference from other opto-electronic sensors in the surroundings. </w:t>
      </w:r>
      <w:r>
        <w:t>T</w:t>
      </w:r>
      <w:r w:rsidR="006C070A">
        <w:t>he SLG-2 also impresses with its short response times – these range from 2.1 ms to 20 ms, depending on the number of light beams. This means that objects can be reliably detected even in high-speed processes.</w:t>
      </w:r>
    </w:p>
    <w:p w14:paraId="510F373F" w14:textId="4EC1BE6C" w:rsidR="0023323B" w:rsidRDefault="0023323B" w:rsidP="0023323B">
      <w:pPr>
        <w:rPr>
          <w:b/>
          <w:bCs/>
        </w:rPr>
      </w:pPr>
      <w:r>
        <w:rPr>
          <w:b/>
          <w:bCs/>
        </w:rPr>
        <w:t>V</w:t>
      </w:r>
      <w:r w:rsidRPr="00BD739E">
        <w:rPr>
          <w:b/>
          <w:bCs/>
        </w:rPr>
        <w:t>ersatile integration</w:t>
      </w:r>
      <w:r>
        <w:rPr>
          <w:b/>
          <w:bCs/>
        </w:rPr>
        <w:t xml:space="preserve"> for any application</w:t>
      </w:r>
    </w:p>
    <w:p w14:paraId="79B322A0" w14:textId="77777777" w:rsidR="0023323B" w:rsidRPr="00BD739E" w:rsidRDefault="0023323B" w:rsidP="0023323B">
      <w:pPr>
        <w:rPr>
          <w:b/>
          <w:bCs/>
        </w:rPr>
      </w:pPr>
    </w:p>
    <w:p w14:paraId="3FC2BC8D" w14:textId="4C37AA4E" w:rsidR="00361A96" w:rsidRDefault="00DD3BF1" w:rsidP="00D84C88">
      <w:pPr>
        <w:spacing w:after="240"/>
        <w:rPr>
          <w:rFonts w:cs="Arial"/>
          <w:szCs w:val="20"/>
        </w:rPr>
      </w:pPr>
      <w:r>
        <w:t xml:space="preserve">With dimensions of 12 mm x 24 mm, the SLG-2 is one of the most compact automation light grids of its kind on the market. </w:t>
      </w:r>
      <w:r w:rsidR="0023323B">
        <w:t>D</w:t>
      </w:r>
      <w:r>
        <w:t xml:space="preserve">etection heights are between 100 mm and 2,400 mm and can be adjusted in 100 mm increments. The user can also choose between the “slim” variant with light emission through the thin side of the device or the “flat” version with the optics opening in the flat housing profile. This makes </w:t>
      </w:r>
      <w:r w:rsidR="0023323B">
        <w:t>mechanical installation easy</w:t>
      </w:r>
      <w:r>
        <w:t xml:space="preserve"> – especially since the SLG-2 has no blind zones as the sender and receiver elements reach right up to the edge of the housing.</w:t>
      </w:r>
    </w:p>
    <w:p w14:paraId="0A486561" w14:textId="3C771739" w:rsidR="00EE05E8" w:rsidRPr="00EE05E8" w:rsidRDefault="00EE05E8" w:rsidP="00D84C88">
      <w:pPr>
        <w:spacing w:after="240"/>
        <w:rPr>
          <w:rFonts w:cs="Arial"/>
          <w:b/>
          <w:bCs/>
          <w:szCs w:val="20"/>
        </w:rPr>
      </w:pPr>
      <w:r>
        <w:rPr>
          <w:b/>
        </w:rPr>
        <w:t>Perfectly equipped for measurement and classification tasks</w:t>
      </w:r>
    </w:p>
    <w:p w14:paraId="58F62400" w14:textId="442460BD" w:rsidR="00744F4D" w:rsidRDefault="008A0987" w:rsidP="00D84C88">
      <w:pPr>
        <w:spacing w:after="240"/>
        <w:rPr>
          <w:rFonts w:cs="Arial"/>
          <w:szCs w:val="20"/>
        </w:rPr>
      </w:pPr>
      <w:r>
        <w:t xml:space="preserve">With the SLG-2, all light beams can be read out individually and the beam </w:t>
      </w:r>
      <w:r w:rsidR="005C5214">
        <w:t xml:space="preserve">status </w:t>
      </w:r>
      <w:r>
        <w:t xml:space="preserve">can be transmitted via the IO-Link interface. This “raw data” as well as the measuring functions integrated in the light grid provides the user with the greatest possible flexibility for solving tasks such as width, height and profile measurement, for position determination as well as for the classification of objects. Using the integrated smart task logic, it is also possible to define different zones within the light grid, assign functions to them, logically link zone signals to one another and provide their values as output signals. Among </w:t>
      </w:r>
      <w:r w:rsidR="0023323B">
        <w:t xml:space="preserve">many </w:t>
      </w:r>
      <w:r>
        <w:t>other</w:t>
      </w:r>
      <w:r w:rsidR="0023323B">
        <w:t xml:space="preserve"> </w:t>
      </w:r>
      <w:r w:rsidR="0023323B">
        <w:lastRenderedPageBreak/>
        <w:t>applications</w:t>
      </w:r>
      <w:r>
        <w:t>, these functions are used to distinguish between pallets and loads or to detect process errors in depalletizing systems.</w:t>
      </w:r>
    </w:p>
    <w:p w14:paraId="44432A05" w14:textId="10AA541E" w:rsidR="00744F4D" w:rsidRPr="00744F4D" w:rsidRDefault="00744F4D" w:rsidP="00D84C88">
      <w:pPr>
        <w:spacing w:after="240"/>
        <w:rPr>
          <w:rFonts w:cs="Arial"/>
          <w:b/>
          <w:bCs/>
          <w:szCs w:val="20"/>
        </w:rPr>
      </w:pPr>
      <w:r>
        <w:rPr>
          <w:b/>
        </w:rPr>
        <w:t>Extensive diagnosis options</w:t>
      </w:r>
    </w:p>
    <w:p w14:paraId="7BA2CC20" w14:textId="23E14880" w:rsidR="00744F4D" w:rsidRPr="00361A96" w:rsidRDefault="00361A96" w:rsidP="00D84C88">
      <w:pPr>
        <w:spacing w:after="240"/>
        <w:rPr>
          <w:rFonts w:cs="Arial"/>
          <w:sz w:val="14"/>
          <w:szCs w:val="14"/>
        </w:rPr>
      </w:pPr>
      <w:r>
        <w:t>In use, the SLG-2 provides extensive diagnostic information for condition monitoring and preventive maintenance. The “Quality of Run” alarm reports changes in detection quality. The light grid monitors limit values for operating hours and temperatures. It reports possible sender-receiver synchronization errors, teach-in or hardware problems, or invalid process data. This guarantees high, uninterrupted availability of the light grid.</w:t>
      </w:r>
    </w:p>
    <w:p w14:paraId="22F788A5" w14:textId="7910901E" w:rsidR="003F05CC" w:rsidRDefault="003F05CC" w:rsidP="00BE3E67">
      <w:pPr>
        <w:spacing w:after="240"/>
        <w:rPr>
          <w:rFonts w:cs="Arial"/>
          <w:szCs w:val="20"/>
        </w:rPr>
      </w:pPr>
    </w:p>
    <w:p w14:paraId="74BEFD5E" w14:textId="22F92CC8" w:rsidR="00605518" w:rsidRDefault="00973F9F" w:rsidP="00BE3E67">
      <w:pPr>
        <w:spacing w:after="240"/>
        <w:rPr>
          <w:rFonts w:cs="Arial"/>
          <w:szCs w:val="20"/>
        </w:rPr>
      </w:pPr>
      <w:r w:rsidRPr="00973F9F">
        <w:rPr>
          <w:rFonts w:cs="Arial"/>
          <w:b/>
          <w:bCs/>
          <w:szCs w:val="20"/>
        </w:rPr>
        <w:t>Pictures:</w:t>
      </w:r>
      <w:r w:rsidRPr="00973F9F">
        <w:rPr>
          <w:rFonts w:cs="Arial"/>
          <w:b/>
          <w:bCs/>
          <w:szCs w:val="20"/>
        </w:rPr>
        <w:br/>
      </w:r>
      <w:r w:rsidR="00604F56" w:rsidRPr="00604F56">
        <w:t>SICK_SLG_2_0096395</w:t>
      </w:r>
      <w:r w:rsidR="00604F56">
        <w:t xml:space="preserve"> and </w:t>
      </w:r>
      <w:r w:rsidR="00604F56" w:rsidRPr="00604F56">
        <w:t>SICK_SLG_2_009639</w:t>
      </w:r>
      <w:r w:rsidR="00604F56">
        <w:t>6</w:t>
      </w:r>
      <w:r w:rsidR="00EE05E8">
        <w:br/>
      </w:r>
      <w:r>
        <w:br/>
      </w:r>
      <w:r w:rsidR="00EE05E8">
        <w:t>With more than 500 configuration options, the new SLG-2 switching and measuring automation light grid with IO-Link leaves nearly no automation wishes unfulfilled.</w:t>
      </w:r>
    </w:p>
    <w:p w14:paraId="5E0AE6B3" w14:textId="77777777" w:rsidR="00FC322C" w:rsidRDefault="00FC322C" w:rsidP="00BE3E67">
      <w:pPr>
        <w:spacing w:after="240"/>
        <w:rPr>
          <w:rFonts w:cs="Arial"/>
          <w:szCs w:val="20"/>
        </w:rPr>
      </w:pPr>
    </w:p>
    <w:p w14:paraId="63413C10" w14:textId="77777777" w:rsidR="00FC322C" w:rsidRDefault="00FC322C" w:rsidP="00FC322C">
      <w:pPr>
        <w:spacing w:after="120"/>
        <w:rPr>
          <w:rFonts w:cs="Arial"/>
          <w:szCs w:val="20"/>
        </w:rPr>
      </w:pPr>
      <w:r>
        <w:t>Contact</w:t>
      </w:r>
    </w:p>
    <w:p w14:paraId="58AA2640" w14:textId="77777777" w:rsidR="00FC322C" w:rsidRDefault="00FC322C" w:rsidP="00FC322C">
      <w:pPr>
        <w:spacing w:after="120"/>
        <w:rPr>
          <w:rFonts w:cs="Arial"/>
          <w:szCs w:val="20"/>
        </w:rPr>
      </w:pPr>
      <w:r>
        <w:t>Melanie Jendro │PR manager │melanie.jendro@sick.de</w:t>
      </w:r>
    </w:p>
    <w:p w14:paraId="128A496F" w14:textId="77777777" w:rsidR="00FC322C" w:rsidRDefault="00FC322C" w:rsidP="00FC322C">
      <w:pPr>
        <w:spacing w:after="120"/>
        <w:rPr>
          <w:rFonts w:cs="Arial"/>
          <w:szCs w:val="20"/>
        </w:rPr>
      </w:pPr>
      <w:r>
        <w:t>+49 7681 202 4183 │+49 151 741 035 31</w:t>
      </w:r>
    </w:p>
    <w:p w14:paraId="5E2FD52E" w14:textId="77777777" w:rsidR="00FC322C" w:rsidRPr="00AE39C0" w:rsidRDefault="00FC322C" w:rsidP="00FC322C">
      <w:pPr>
        <w:spacing w:after="120"/>
        <w:rPr>
          <w:rFonts w:cs="Arial"/>
          <w:szCs w:val="20"/>
        </w:rPr>
      </w:pPr>
    </w:p>
    <w:p w14:paraId="6C1225D7" w14:textId="77777777" w:rsidR="00D36503" w:rsidRPr="00D36503" w:rsidRDefault="00CB4837" w:rsidP="00CB4837">
      <w:pPr>
        <w:pStyle w:val="Textkrper"/>
        <w:spacing w:line="249" w:lineRule="auto"/>
        <w:ind w:right="111"/>
        <w:jc w:val="both"/>
      </w:pPr>
      <w:r>
        <w:rPr>
          <w:color w:val="007EC3"/>
        </w:rPr>
        <w:t xml:space="preserve">SICK is one of the world’s leading solutions providers for sensor-based applications in the industrial sector. Founded in 1946 by Dr.-Ing. e. h. Erwin Sick, the company with headquarters in Waldkirch im Breisgau near Freiburg ranks among the technological market leaders. With more than 50 subsidiaries and equity investments as well as numerous agencies, SICK maintains a presence around the globe. In the 2020 fiscal year, SICK had more than 10,000 employees worldwide and a group revenue of around EUR 1.7 billion. </w:t>
      </w:r>
      <w:r>
        <w:rPr>
          <w:rFonts w:ascii="Helv" w:hAnsi="Helv"/>
          <w:color w:val="0082BF"/>
        </w:rPr>
        <w:t xml:space="preserve">Additional information about SICK is available on the Internet at </w:t>
      </w:r>
      <w:hyperlink r:id="rId8" w:history="1">
        <w:r>
          <w:rPr>
            <w:rFonts w:ascii="Helv" w:hAnsi="Helv"/>
            <w:color w:val="0082BF"/>
          </w:rPr>
          <w:t>http://www.sick.com</w:t>
        </w:r>
      </w:hyperlink>
      <w:r>
        <w:rPr>
          <w:rFonts w:ascii="Helv" w:hAnsi="Helv"/>
          <w:color w:val="0082BF"/>
        </w:rPr>
        <w:t xml:space="preserve"> or by phone on +49 (0)7681202-4183.</w:t>
      </w:r>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17E9" w14:textId="77777777" w:rsidR="00491E31" w:rsidRDefault="00491E31" w:rsidP="00CB0E99">
      <w:pPr>
        <w:spacing w:line="240" w:lineRule="auto"/>
      </w:pPr>
      <w:r>
        <w:separator/>
      </w:r>
    </w:p>
  </w:endnote>
  <w:endnote w:type="continuationSeparator" w:id="0">
    <w:p w14:paraId="541B18DA" w14:textId="77777777" w:rsidR="00491E31" w:rsidRDefault="00491E31" w:rsidP="00CB0E99">
      <w:pPr>
        <w:spacing w:line="240" w:lineRule="auto"/>
      </w:pPr>
      <w:r>
        <w:continuationSeparator/>
      </w:r>
    </w:p>
  </w:endnote>
  <w:endnote w:type="continuationNotice" w:id="1">
    <w:p w14:paraId="31FF49A7" w14:textId="77777777" w:rsidR="00491E31" w:rsidRDefault="00491E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D5168" w14:textId="77777777" w:rsidR="008B6429" w:rsidRPr="00E273D4" w:rsidRDefault="008B6429"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EB0244">
      <w:rPr>
        <w:sz w:val="14"/>
        <w:szCs w:val="14"/>
      </w:rPr>
      <w:t>2</w:t>
    </w:r>
    <w:r w:rsidRPr="00E273D4">
      <w:rPr>
        <w:sz w:val="14"/>
        <w:szCs w:val="14"/>
      </w:rPr>
      <w:fldChar w:fldCharType="end"/>
    </w:r>
    <w:r>
      <w:rPr>
        <w:sz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EB0244">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C03CC"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8E87A" w14:textId="77777777" w:rsidR="00491E31" w:rsidRDefault="00491E31" w:rsidP="00CB0E99">
      <w:pPr>
        <w:spacing w:line="240" w:lineRule="auto"/>
      </w:pPr>
      <w:r>
        <w:separator/>
      </w:r>
    </w:p>
  </w:footnote>
  <w:footnote w:type="continuationSeparator" w:id="0">
    <w:p w14:paraId="0FBE40C7" w14:textId="77777777" w:rsidR="00491E31" w:rsidRDefault="00491E31" w:rsidP="00CB0E99">
      <w:pPr>
        <w:spacing w:line="240" w:lineRule="auto"/>
      </w:pPr>
      <w:r>
        <w:continuationSeparator/>
      </w:r>
    </w:p>
  </w:footnote>
  <w:footnote w:type="continuationNotice" w:id="1">
    <w:p w14:paraId="599F17E3" w14:textId="77777777" w:rsidR="00491E31" w:rsidRDefault="00491E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0E64D" w14:textId="77777777" w:rsidR="00CB0E99" w:rsidRPr="005774AB" w:rsidRDefault="002C16DF" w:rsidP="007D7404">
    <w:pPr>
      <w:spacing w:line="384" w:lineRule="exact"/>
      <w:rPr>
        <w:rFonts w:cs="Arial"/>
        <w:color w:val="0070C0"/>
        <w:szCs w:val="20"/>
      </w:rPr>
    </w:pPr>
    <w:r>
      <w:rPr>
        <w:noProof/>
      </w:rPr>
      <w:drawing>
        <wp:anchor distT="0" distB="0" distL="114300" distR="114300" simplePos="0" relativeHeight="251657216" behindDoc="1" locked="0" layoutInCell="1" allowOverlap="1" wp14:anchorId="79DEEB23" wp14:editId="77EF961F">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A97A4"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7BE84DF5" w14:textId="77777777" w:rsidR="00392F4D" w:rsidRPr="00E04E05" w:rsidRDefault="002C16DF" w:rsidP="00E04E05">
    <w:pPr>
      <w:spacing w:line="384" w:lineRule="exact"/>
      <w:rPr>
        <w:rFonts w:cs="Arial"/>
        <w:szCs w:val="20"/>
      </w:rPr>
    </w:pPr>
    <w:r>
      <w:rPr>
        <w:noProof/>
        <w:color w:val="007FC3"/>
        <w:sz w:val="32"/>
      </w:rPr>
      <w:drawing>
        <wp:anchor distT="0" distB="0" distL="114300" distR="114300" simplePos="0" relativeHeight="251658240" behindDoc="1" locked="0" layoutInCell="1" allowOverlap="1" wp14:anchorId="3D5F1F91" wp14:editId="054AE4B5">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o:colormru v:ext="edit" colors="#007fc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1C"/>
    <w:rsid w:val="000077BD"/>
    <w:rsid w:val="00047437"/>
    <w:rsid w:val="0006051A"/>
    <w:rsid w:val="0008423C"/>
    <w:rsid w:val="00084F3F"/>
    <w:rsid w:val="000B2F84"/>
    <w:rsid w:val="000E2D3C"/>
    <w:rsid w:val="000F5C66"/>
    <w:rsid w:val="001310B9"/>
    <w:rsid w:val="001353D4"/>
    <w:rsid w:val="00144B8E"/>
    <w:rsid w:val="0015775E"/>
    <w:rsid w:val="00161D1B"/>
    <w:rsid w:val="0017428D"/>
    <w:rsid w:val="00190A9B"/>
    <w:rsid w:val="001A5682"/>
    <w:rsid w:val="001B3A32"/>
    <w:rsid w:val="001C6197"/>
    <w:rsid w:val="001E47B4"/>
    <w:rsid w:val="001E51CD"/>
    <w:rsid w:val="001E57C0"/>
    <w:rsid w:val="00215810"/>
    <w:rsid w:val="00216883"/>
    <w:rsid w:val="00227C3D"/>
    <w:rsid w:val="002303F2"/>
    <w:rsid w:val="0023323B"/>
    <w:rsid w:val="00241027"/>
    <w:rsid w:val="00243368"/>
    <w:rsid w:val="00246DAA"/>
    <w:rsid w:val="0025105D"/>
    <w:rsid w:val="0025113F"/>
    <w:rsid w:val="002610B2"/>
    <w:rsid w:val="002612DD"/>
    <w:rsid w:val="00280F68"/>
    <w:rsid w:val="00286D84"/>
    <w:rsid w:val="002A653F"/>
    <w:rsid w:val="002B10E3"/>
    <w:rsid w:val="002B7627"/>
    <w:rsid w:val="002C16DF"/>
    <w:rsid w:val="00311305"/>
    <w:rsid w:val="003470F7"/>
    <w:rsid w:val="00361A96"/>
    <w:rsid w:val="00365DDC"/>
    <w:rsid w:val="003764BE"/>
    <w:rsid w:val="0037737A"/>
    <w:rsid w:val="00377DF0"/>
    <w:rsid w:val="00390C85"/>
    <w:rsid w:val="00392F4D"/>
    <w:rsid w:val="003B46B7"/>
    <w:rsid w:val="003B67A4"/>
    <w:rsid w:val="003B7380"/>
    <w:rsid w:val="003E4B90"/>
    <w:rsid w:val="003F05CC"/>
    <w:rsid w:val="00416812"/>
    <w:rsid w:val="00461E71"/>
    <w:rsid w:val="0047311C"/>
    <w:rsid w:val="00486289"/>
    <w:rsid w:val="00491E31"/>
    <w:rsid w:val="004D70DF"/>
    <w:rsid w:val="004D70E3"/>
    <w:rsid w:val="004F23C5"/>
    <w:rsid w:val="005027F6"/>
    <w:rsid w:val="00514A5D"/>
    <w:rsid w:val="0052698F"/>
    <w:rsid w:val="00547286"/>
    <w:rsid w:val="005554B4"/>
    <w:rsid w:val="005774AB"/>
    <w:rsid w:val="00581390"/>
    <w:rsid w:val="005864EF"/>
    <w:rsid w:val="00594E47"/>
    <w:rsid w:val="005C5214"/>
    <w:rsid w:val="005E790D"/>
    <w:rsid w:val="005F0DE6"/>
    <w:rsid w:val="005F4798"/>
    <w:rsid w:val="00604F56"/>
    <w:rsid w:val="00605518"/>
    <w:rsid w:val="00613BF8"/>
    <w:rsid w:val="00620BA5"/>
    <w:rsid w:val="006374FF"/>
    <w:rsid w:val="00637F15"/>
    <w:rsid w:val="00690CD9"/>
    <w:rsid w:val="006A725F"/>
    <w:rsid w:val="006C070A"/>
    <w:rsid w:val="006C5AFB"/>
    <w:rsid w:val="006D7DA2"/>
    <w:rsid w:val="006F09FE"/>
    <w:rsid w:val="006F1EEB"/>
    <w:rsid w:val="006F6DE2"/>
    <w:rsid w:val="00721ACC"/>
    <w:rsid w:val="00731011"/>
    <w:rsid w:val="00735B1C"/>
    <w:rsid w:val="00744175"/>
    <w:rsid w:val="00744F4D"/>
    <w:rsid w:val="00754295"/>
    <w:rsid w:val="0075680B"/>
    <w:rsid w:val="0079794B"/>
    <w:rsid w:val="007A0763"/>
    <w:rsid w:val="007B152C"/>
    <w:rsid w:val="007D7404"/>
    <w:rsid w:val="007E6CE3"/>
    <w:rsid w:val="007F0429"/>
    <w:rsid w:val="0083193F"/>
    <w:rsid w:val="008940AA"/>
    <w:rsid w:val="008A077B"/>
    <w:rsid w:val="008A0987"/>
    <w:rsid w:val="008B6429"/>
    <w:rsid w:val="008C21FC"/>
    <w:rsid w:val="00903D8A"/>
    <w:rsid w:val="009045CA"/>
    <w:rsid w:val="00910D8D"/>
    <w:rsid w:val="00930631"/>
    <w:rsid w:val="00962793"/>
    <w:rsid w:val="00973F9F"/>
    <w:rsid w:val="00990718"/>
    <w:rsid w:val="0099551E"/>
    <w:rsid w:val="009C1042"/>
    <w:rsid w:val="009C7C76"/>
    <w:rsid w:val="009D69A1"/>
    <w:rsid w:val="00A33D14"/>
    <w:rsid w:val="00A4395C"/>
    <w:rsid w:val="00A4733D"/>
    <w:rsid w:val="00A775E9"/>
    <w:rsid w:val="00A863F5"/>
    <w:rsid w:val="00AB0A33"/>
    <w:rsid w:val="00AE39C0"/>
    <w:rsid w:val="00AE4A53"/>
    <w:rsid w:val="00AE782F"/>
    <w:rsid w:val="00B03194"/>
    <w:rsid w:val="00B123CA"/>
    <w:rsid w:val="00B30C5E"/>
    <w:rsid w:val="00B31D5B"/>
    <w:rsid w:val="00B3723D"/>
    <w:rsid w:val="00B401DC"/>
    <w:rsid w:val="00B418F4"/>
    <w:rsid w:val="00B54F8A"/>
    <w:rsid w:val="00B82552"/>
    <w:rsid w:val="00BA26EB"/>
    <w:rsid w:val="00BC6C05"/>
    <w:rsid w:val="00BD1EED"/>
    <w:rsid w:val="00BD2BE3"/>
    <w:rsid w:val="00BE3E67"/>
    <w:rsid w:val="00C02C79"/>
    <w:rsid w:val="00C04E45"/>
    <w:rsid w:val="00C22B42"/>
    <w:rsid w:val="00C27B9E"/>
    <w:rsid w:val="00C3606D"/>
    <w:rsid w:val="00C7643D"/>
    <w:rsid w:val="00C84DBD"/>
    <w:rsid w:val="00C92212"/>
    <w:rsid w:val="00CB0709"/>
    <w:rsid w:val="00CB0E99"/>
    <w:rsid w:val="00CB4837"/>
    <w:rsid w:val="00CB6416"/>
    <w:rsid w:val="00CC083F"/>
    <w:rsid w:val="00CF3C8D"/>
    <w:rsid w:val="00D36503"/>
    <w:rsid w:val="00D42FF3"/>
    <w:rsid w:val="00D666C7"/>
    <w:rsid w:val="00D73797"/>
    <w:rsid w:val="00D7448E"/>
    <w:rsid w:val="00D84C88"/>
    <w:rsid w:val="00D876C8"/>
    <w:rsid w:val="00D94555"/>
    <w:rsid w:val="00D97923"/>
    <w:rsid w:val="00D97B8B"/>
    <w:rsid w:val="00DA1D78"/>
    <w:rsid w:val="00DA4CC7"/>
    <w:rsid w:val="00DC0193"/>
    <w:rsid w:val="00DD3BF1"/>
    <w:rsid w:val="00DD4751"/>
    <w:rsid w:val="00DF74C4"/>
    <w:rsid w:val="00E00220"/>
    <w:rsid w:val="00E04E05"/>
    <w:rsid w:val="00E273D4"/>
    <w:rsid w:val="00E33724"/>
    <w:rsid w:val="00E43D52"/>
    <w:rsid w:val="00E753B2"/>
    <w:rsid w:val="00EB0244"/>
    <w:rsid w:val="00EC110E"/>
    <w:rsid w:val="00ED34D2"/>
    <w:rsid w:val="00EE05E8"/>
    <w:rsid w:val="00EE67CC"/>
    <w:rsid w:val="00F05A05"/>
    <w:rsid w:val="00F17459"/>
    <w:rsid w:val="00F25574"/>
    <w:rsid w:val="00F52337"/>
    <w:rsid w:val="00F5454F"/>
    <w:rsid w:val="00F7375F"/>
    <w:rsid w:val="00F804B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6E990445"/>
  <w15:docId w15:val="{C95AC6A3-71D1-476F-B5B2-A6635C1A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semiHidden/>
    <w:unhideWhenUsed/>
    <w:rsid w:val="005864EF"/>
    <w:rPr>
      <w:sz w:val="16"/>
      <w:szCs w:val="16"/>
    </w:rPr>
  </w:style>
  <w:style w:type="paragraph" w:styleId="Kommentartext">
    <w:name w:val="annotation text"/>
    <w:basedOn w:val="Standard"/>
    <w:link w:val="KommentartextZchn"/>
    <w:semiHidden/>
    <w:unhideWhenUsed/>
    <w:rsid w:val="005864EF"/>
    <w:rPr>
      <w:szCs w:val="20"/>
    </w:rPr>
  </w:style>
  <w:style w:type="character" w:customStyle="1" w:styleId="KommentartextZchn">
    <w:name w:val="Kommentartext Zchn"/>
    <w:link w:val="Kommentartext"/>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uiPriority w:val="1"/>
    <w:qFormat/>
    <w:rsid w:val="00CB4837"/>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CB4837"/>
    <w:rPr>
      <w:rFonts w:ascii="Arial" w:eastAsia="Arial" w:hAnsi="Arial" w:cs="Arial"/>
      <w:lang w:eastAsia="en-US"/>
    </w:rPr>
  </w:style>
  <w:style w:type="paragraph" w:styleId="berarbeitung">
    <w:name w:val="Revision"/>
    <w:hidden/>
    <w:uiPriority w:val="99"/>
    <w:semiHidden/>
    <w:rsid w:val="00690CD9"/>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9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W1IGH4AM\Sick_Pressemeldung_Vorlage_20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F91A-5496-49BB-9792-D336305D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Sick_Pressemeldung_Vorlage_2021.dotx</Template>
  <TotalTime>0</TotalTime>
  <Pages>2</Pages>
  <Words>642</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Diana Jockmann</cp:lastModifiedBy>
  <cp:revision>5</cp:revision>
  <cp:lastPrinted>2014-07-28T14:05:00Z</cp:lastPrinted>
  <dcterms:created xsi:type="dcterms:W3CDTF">2021-06-22T07:38:00Z</dcterms:created>
  <dcterms:modified xsi:type="dcterms:W3CDTF">2021-07-08T11:45:00Z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SLG 2 Übersetzung - jetzt mit Anhang</vt:lpwstr>
  </property>
  <property fmtid="{D5CDD505-2E9C-101B-9397-08002B2CF9AE}" pid="4" name="_AuthorEmail">
    <vt:lpwstr>julia.nitsche@sick.de</vt:lpwstr>
  </property>
  <property fmtid="{D5CDD505-2E9C-101B-9397-08002B2CF9AE}" pid="5" name="_AuthorEmailDisplayName">
    <vt:lpwstr>Julia Nitsche</vt:lpwstr>
  </property>
  <property fmtid="{D5CDD505-2E9C-101B-9397-08002B2CF9AE}" pid="6" name="_PreviousAdHocReviewCycleID">
    <vt:i4>2050290064</vt:i4>
  </property>
</Properties>
</file>